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2021年省本级国有资本经营预算收入表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单位：万元 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4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2"/>
        <w:gridCol w:w="2438"/>
        <w:gridCol w:w="768"/>
        <w:gridCol w:w="1200"/>
        <w:gridCol w:w="900"/>
        <w:gridCol w:w="1275"/>
        <w:gridCol w:w="1744"/>
        <w:gridCol w:w="1256"/>
        <w:gridCol w:w="3469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 w:hRule="atLeast"/>
        </w:trPr>
        <w:tc>
          <w:tcPr>
            <w:tcW w:w="862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38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主管部门及企业名称</w:t>
            </w:r>
          </w:p>
        </w:tc>
        <w:tc>
          <w:tcPr>
            <w:tcW w:w="1968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收缴比例%</w:t>
            </w:r>
          </w:p>
        </w:tc>
        <w:tc>
          <w:tcPr>
            <w:tcW w:w="5175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人大审议批准的批复数</w:t>
            </w:r>
          </w:p>
        </w:tc>
        <w:tc>
          <w:tcPr>
            <w:tcW w:w="346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预算科目</w:t>
            </w:r>
          </w:p>
        </w:tc>
        <w:tc>
          <w:tcPr>
            <w:tcW w:w="75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3" w:hRule="atLeast"/>
        </w:trPr>
        <w:tc>
          <w:tcPr>
            <w:tcW w:w="86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利息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股利股息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利息收入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股利股息收入</w:t>
            </w: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其他收入</w:t>
            </w:r>
          </w:p>
        </w:tc>
        <w:tc>
          <w:tcPr>
            <w:tcW w:w="3469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1" w:hRule="atLeast"/>
        </w:trPr>
        <w:tc>
          <w:tcPr>
            <w:tcW w:w="86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省自然资源厅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406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广东省测绘工程公司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206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103060198其他国有资本经营预算企业利润收入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广东省测绘技术公司</w:t>
            </w:r>
          </w:p>
        </w:tc>
        <w:tc>
          <w:tcPr>
            <w:tcW w:w="76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6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103060198其他国有资本经营预算企业利润收入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E2FF6"/>
    <w:rsid w:val="0A107528"/>
    <w:rsid w:val="1DD07390"/>
    <w:rsid w:val="4B3E2FF6"/>
    <w:rsid w:val="5EE21CD2"/>
    <w:rsid w:val="5F8A11FF"/>
    <w:rsid w:val="7C23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2021-02-20T02:54:00Z</dcterms:created>
  <dc:creator>朱晓林</dc:creator>
  <cp:lastModifiedBy>朱晓林</cp:lastModifiedBy>
  <dcterms:modified xsi:type="dcterms:W3CDTF">2021-02-20T04:32:24Z</dcterms:modified>
  <dc:title>2021年省本级国有资本经营预算收入表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