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广东新丰云髻山省级自然保护区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范围和功能区调整理由、方案及示意图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eastAsia="zh-CN"/>
        </w:rPr>
        <w:t>一、范围和功能区调整理由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广东新丰云髻山省级自然保护区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位于广东省韶关市新丰县县城西北部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1990年1月11日经广东省人民政府批准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建立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（粤办函〔1990〕13号）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保护区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登记总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面积2727.00hm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vertAlign w:val="superscript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vertAlign w:val="baseline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实际核算面积为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2707.10hm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vertAlign w:val="superscript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，属于自然生态类中森林生态系统类型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的自然保护区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，主要保护对象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亚热带常绿阔叶林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珍稀濒危野生动植物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水资源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景观资源和旅游资源。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根据广东省发展和改革委员会发布的《广东省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2013年重点建设项目计划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（粤发改重点〔2013〕153号）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和《广东省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2019年重点建设项目计划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（粤发改投资〔201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98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，“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新丰县云髻山旅游开发项目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”是2013年和2019年的广东省重点建设项目，其建设实施对促进新丰县经济结构战略性调整和经济转型发展、带动新丰县落后地区发展和就业、助力新丰县偏远山区精准脱贫和乡村振兴战略的实施具有重要作用。由于项目位于新丰县西北部的西坑等区域，将不可避免涉及云髻山自然保护区南部边缘的实验区。同时，云髻山自然保护区作为省级自然保护区其面积相对较小，需采取积极措施扩大自然保护区的保护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为了更好地保护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广东新丰云髻山省级自然保护区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的自然资源和生态环境，强化对自然保护区的管理，提升自然保护区的保护价值，促进自然保护区管理与重点项目建设协调发展，推进和发展广东省、新丰县对自然生态的保护事业，根据《广东省自然保护区建立和调整管理规定》，结合实际情况，对云髻山自然保护区范围和功能区进行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eastAsia="zh-CN"/>
        </w:rPr>
        <w:t>二、范围和功能区调整方案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范围调整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（1）将位于保护区南部，省重点项目实际涉及的西坑区域调出保护区范围（编号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），面积为29.24hm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vertAlign w:val="superscript"/>
          <w:lang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（2）将保护区西部-司茅坪林场的大坝I、Ⅱ林班，与保护区相邻、生境较好的部分区域调入保护区（编号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2、3、4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），面积493.64hm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vertAlign w:val="superscript"/>
          <w:lang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范围调整后，保护区面积由2707.10hm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vertAlign w:val="superscript"/>
          <w:lang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变为3171.50hm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vertAlign w:val="superscript"/>
          <w:lang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，增加464.40hm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vertAlign w:val="superscript"/>
          <w:lang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2.功能区调整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（1）核心区调整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将范围调入区东部、靠近调入区的原保护区部分缓冲区和实验区（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编号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编号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6和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编号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7）调整为核心区，面积分别为26.78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hm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vertAlign w:val="superscript"/>
          <w:lang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、69.91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hm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vertAlign w:val="superscript"/>
          <w:lang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和17.24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hm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vertAlign w:val="superscript"/>
          <w:lang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调整后，保护区的核心区面积由1113.27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hm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vertAlign w:val="superscript"/>
          <w:lang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变化为1227.20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hm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vertAlign w:val="superscript"/>
          <w:lang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，增加了113.93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hm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vertAlign w:val="superscript"/>
          <w:lang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，保障了调整后保护区的功能作用和保护价值不降低。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（2）缓冲区调整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将调入区中部（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编号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3）、原属实验区的吊钟石西北侧区域（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编号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8）和羊屎坑-枫树坑顶区域（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编号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9）调整为缓冲区，面积分别为379.46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hm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vertAlign w:val="superscript"/>
          <w:lang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、5.41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hm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vertAlign w:val="superscript"/>
          <w:lang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和138.88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hm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vertAlign w:val="superscript"/>
          <w:lang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将保护区西北侧、北侧至东北侧边界外露的缓冲区部分调整为实验区（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编号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5），面积为85.30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hm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vertAlign w:val="superscript"/>
          <w:lang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将保护区西侧吊钟石区域缓冲区（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编号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6）调整为核心区，面积为69.91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hm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vertAlign w:val="superscript"/>
          <w:lang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调整后，缓冲区面积由581.76变化为为950.30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hm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vertAlign w:val="superscript"/>
          <w:lang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，增加了368.54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hm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vertAlign w:val="superscript"/>
          <w:lang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（3）实验区调整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将项目涉及区域实验区调整为非保护区（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编号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1），面积为29.24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hm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vertAlign w:val="superscript"/>
          <w:lang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将调入区西部边缘（编号4）、保护区西北侧至东北侧边界外露的缓冲区（编号5）部分调整为实验区，面积分别为87.40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hm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vertAlign w:val="superscript"/>
          <w:lang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和85.30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hm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vertAlign w:val="superscript"/>
          <w:lang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将保护区西侧的实验区区域（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编号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7和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编号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8）分别调整为核心区和缓冲区，面积分别为17.24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hm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vertAlign w:val="superscript"/>
          <w:lang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和5.41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hm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vertAlign w:val="superscript"/>
          <w:lang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将原属实验区的羊屎坑-枫树坑顶区域划为缓冲区（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编号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9），面积为138.88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hm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vertAlign w:val="superscript"/>
          <w:lang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调整后，保护区的实验区面积由1012.07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hm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vertAlign w:val="superscript"/>
          <w:lang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变化为994.00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hm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vertAlign w:val="superscript"/>
          <w:lang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，减少了18.07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hm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vertAlign w:val="superscript"/>
          <w:lang w:eastAsia="zh-CN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lang w:eastAsia="zh-CN"/>
        </w:rPr>
        <w:t>三、范围和功能区调整示意图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drawing>
          <wp:inline distT="0" distB="0" distL="114300" distR="114300">
            <wp:extent cx="5206365" cy="7067550"/>
            <wp:effectExtent l="0" t="0" r="13335" b="0"/>
            <wp:docPr id="1" name="图片 1" descr="附图7 保护区功能区调整方案示意图2 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图7 保护区功能区调整方案示意图2 改"/>
                    <pic:cNvPicPr>
                      <a:picLocks noChangeAspect="1"/>
                    </pic:cNvPicPr>
                  </pic:nvPicPr>
                  <pic:blipFill>
                    <a:blip r:embed="rId4"/>
                    <a:srcRect l="3613" t="7817" r="3217" b="2695"/>
                    <a:stretch>
                      <a:fillRect/>
                    </a:stretch>
                  </pic:blipFill>
                  <pic:spPr>
                    <a:xfrm>
                      <a:off x="0" y="0"/>
                      <a:ext cx="5206365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图1 云髻山自然保护区范围和功能区调整示意图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7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JC~张大钺</cp:lastModifiedBy>
  <dcterms:modified xsi:type="dcterms:W3CDTF">2020-01-14T06:58:10Z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